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EA8D8" w14:textId="77777777" w:rsidR="00CE1809" w:rsidRDefault="00CE1809" w:rsidP="005E5CF7">
      <w:pPr>
        <w:jc w:val="both"/>
      </w:pPr>
    </w:p>
    <w:p w14:paraId="3AC87884" w14:textId="37C43F56" w:rsidR="00CE1809" w:rsidRPr="00F70FB1" w:rsidRDefault="00CE1809" w:rsidP="005E5CF7">
      <w:pPr>
        <w:jc w:val="both"/>
        <w:rPr>
          <w:b/>
          <w:bCs/>
        </w:rPr>
      </w:pPr>
      <w:r w:rsidRPr="00F70FB1">
        <w:rPr>
          <w:b/>
          <w:bCs/>
        </w:rPr>
        <w:t xml:space="preserve">Τίτλος προγράμματος: </w:t>
      </w:r>
    </w:p>
    <w:p w14:paraId="742DAC09" w14:textId="06926F67" w:rsidR="00F8540F" w:rsidRPr="00CE1809" w:rsidRDefault="00004478" w:rsidP="005E5CF7">
      <w:pPr>
        <w:jc w:val="both"/>
      </w:pPr>
      <w:r w:rsidRPr="00004478">
        <w:t>Ένα</w:t>
      </w:r>
      <w:r w:rsidRPr="00CE1809">
        <w:t xml:space="preserve"> </w:t>
      </w:r>
      <w:r w:rsidRPr="00004478">
        <w:t>μοντέλο</w:t>
      </w:r>
      <w:r w:rsidRPr="00CE1809">
        <w:t xml:space="preserve"> </w:t>
      </w:r>
      <w:r w:rsidRPr="00004478">
        <w:t>βιώσιμου</w:t>
      </w:r>
      <w:r w:rsidRPr="00CE1809">
        <w:t xml:space="preserve"> </w:t>
      </w:r>
      <w:r w:rsidRPr="00004478">
        <w:t>τουρισμού</w:t>
      </w:r>
      <w:r w:rsidRPr="00CE1809">
        <w:t xml:space="preserve"> </w:t>
      </w:r>
      <w:r w:rsidRPr="00004478">
        <w:t>στην</w:t>
      </w:r>
      <w:r w:rsidRPr="00CE1809">
        <w:t xml:space="preserve"> </w:t>
      </w:r>
      <w:r w:rsidRPr="00004478">
        <w:t>Κεντρική</w:t>
      </w:r>
      <w:r w:rsidRPr="00CE1809">
        <w:t xml:space="preserve"> </w:t>
      </w:r>
      <w:r w:rsidRPr="00004478">
        <w:t>Ασία</w:t>
      </w:r>
      <w:r w:rsidRPr="00CE1809">
        <w:t xml:space="preserve">: </w:t>
      </w:r>
      <w:r w:rsidRPr="00004478">
        <w:t>Δημιουργία</w:t>
      </w:r>
      <w:r w:rsidRPr="00CE1809">
        <w:t xml:space="preserve"> </w:t>
      </w:r>
      <w:r w:rsidRPr="00004478">
        <w:t>ικανοτήτων</w:t>
      </w:r>
      <w:r w:rsidRPr="00CE1809">
        <w:t xml:space="preserve">, </w:t>
      </w:r>
      <w:r w:rsidRPr="00004478">
        <w:t>δημιουργία</w:t>
      </w:r>
      <w:r w:rsidRPr="00CE1809">
        <w:t xml:space="preserve"> </w:t>
      </w:r>
      <w:r w:rsidRPr="00004478">
        <w:t>ευαισθητοποίησης</w:t>
      </w:r>
      <w:r w:rsidRPr="00CE1809">
        <w:t xml:space="preserve">, </w:t>
      </w:r>
      <w:r w:rsidRPr="00004478">
        <w:t>εισαγωγή</w:t>
      </w:r>
      <w:r w:rsidRPr="00CE1809">
        <w:t xml:space="preserve"> </w:t>
      </w:r>
      <w:r w:rsidRPr="00004478">
        <w:t>τεχνολογίας</w:t>
      </w:r>
      <w:r w:rsidR="00CE1809">
        <w:t xml:space="preserve"> / </w:t>
      </w:r>
      <w:r w:rsidR="00CE1809" w:rsidRPr="00004478">
        <w:rPr>
          <w:lang w:val="en-US"/>
        </w:rPr>
        <w:t>A</w:t>
      </w:r>
      <w:r w:rsidR="00CE1809" w:rsidRPr="00CE1809">
        <w:t xml:space="preserve"> </w:t>
      </w:r>
      <w:r w:rsidR="00CE1809" w:rsidRPr="00004478">
        <w:rPr>
          <w:lang w:val="en-US"/>
        </w:rPr>
        <w:t>model</w:t>
      </w:r>
      <w:r w:rsidR="00CE1809" w:rsidRPr="00CE1809">
        <w:t xml:space="preserve"> </w:t>
      </w:r>
      <w:r w:rsidR="00CE1809" w:rsidRPr="00004478">
        <w:rPr>
          <w:lang w:val="en-US"/>
        </w:rPr>
        <w:t>for</w:t>
      </w:r>
      <w:r w:rsidR="00CE1809" w:rsidRPr="00CE1809">
        <w:t xml:space="preserve"> </w:t>
      </w:r>
      <w:r w:rsidR="00CE1809" w:rsidRPr="00004478">
        <w:rPr>
          <w:lang w:val="en-US"/>
        </w:rPr>
        <w:t>sustainable</w:t>
      </w:r>
      <w:r w:rsidR="00CE1809" w:rsidRPr="00CE1809">
        <w:t xml:space="preserve"> </w:t>
      </w:r>
      <w:r w:rsidR="00CE1809" w:rsidRPr="00004478">
        <w:rPr>
          <w:lang w:val="en-US"/>
        </w:rPr>
        <w:t>tourism</w:t>
      </w:r>
      <w:r w:rsidR="00CE1809" w:rsidRPr="00CE1809">
        <w:t xml:space="preserve"> </w:t>
      </w:r>
      <w:r w:rsidR="00CE1809" w:rsidRPr="00004478">
        <w:rPr>
          <w:lang w:val="en-US"/>
        </w:rPr>
        <w:t>in</w:t>
      </w:r>
      <w:r w:rsidR="00CE1809" w:rsidRPr="00CE1809">
        <w:t xml:space="preserve"> </w:t>
      </w:r>
      <w:r w:rsidR="00CE1809" w:rsidRPr="00004478">
        <w:rPr>
          <w:lang w:val="en-US"/>
        </w:rPr>
        <w:t>Central</w:t>
      </w:r>
      <w:r w:rsidR="00CE1809" w:rsidRPr="00CE1809">
        <w:t xml:space="preserve"> </w:t>
      </w:r>
      <w:r w:rsidR="00CE1809" w:rsidRPr="00004478">
        <w:rPr>
          <w:lang w:val="en-US"/>
        </w:rPr>
        <w:t>Asia</w:t>
      </w:r>
      <w:r w:rsidR="00CE1809" w:rsidRPr="00CE1809">
        <w:t xml:space="preserve">: </w:t>
      </w:r>
      <w:r w:rsidR="00CE1809" w:rsidRPr="00004478">
        <w:rPr>
          <w:lang w:val="en-US"/>
        </w:rPr>
        <w:t>Building</w:t>
      </w:r>
      <w:r w:rsidR="00CE1809" w:rsidRPr="00CE1809">
        <w:t xml:space="preserve"> </w:t>
      </w:r>
      <w:r w:rsidR="00CE1809" w:rsidRPr="00004478">
        <w:rPr>
          <w:lang w:val="en-US"/>
        </w:rPr>
        <w:t>Capacities</w:t>
      </w:r>
      <w:r w:rsidR="00CE1809" w:rsidRPr="00CE1809">
        <w:t xml:space="preserve">, </w:t>
      </w:r>
      <w:r w:rsidR="00CE1809" w:rsidRPr="00004478">
        <w:rPr>
          <w:lang w:val="en-US"/>
        </w:rPr>
        <w:t>Creating</w:t>
      </w:r>
      <w:r w:rsidR="00CE1809" w:rsidRPr="00CE1809">
        <w:t xml:space="preserve"> </w:t>
      </w:r>
      <w:r w:rsidR="00CE1809" w:rsidRPr="00004478">
        <w:rPr>
          <w:lang w:val="en-US"/>
        </w:rPr>
        <w:t>Awareness</w:t>
      </w:r>
      <w:r w:rsidR="00CE1809" w:rsidRPr="00CE1809">
        <w:t xml:space="preserve">, </w:t>
      </w:r>
      <w:r w:rsidR="00CE1809" w:rsidRPr="00004478">
        <w:rPr>
          <w:lang w:val="en-US"/>
        </w:rPr>
        <w:t>Introducing</w:t>
      </w:r>
      <w:r w:rsidR="00CE1809" w:rsidRPr="00CE1809">
        <w:t xml:space="preserve"> </w:t>
      </w:r>
      <w:r w:rsidR="00CE1809" w:rsidRPr="00004478">
        <w:rPr>
          <w:lang w:val="en-US"/>
        </w:rPr>
        <w:t>technology</w:t>
      </w:r>
      <w:r w:rsidR="00CE1809">
        <w:t xml:space="preserve"> </w:t>
      </w:r>
    </w:p>
    <w:p w14:paraId="281F9BE6" w14:textId="77777777" w:rsidR="00F70FB1" w:rsidRDefault="00F70FB1" w:rsidP="00FB34BD">
      <w:pPr>
        <w:jc w:val="both"/>
        <w:rPr>
          <w:b/>
          <w:bCs/>
        </w:rPr>
      </w:pPr>
      <w:r>
        <w:rPr>
          <w:b/>
          <w:bCs/>
        </w:rPr>
        <w:t>Εισαγωγή:</w:t>
      </w:r>
      <w:r w:rsidR="00F8540F">
        <w:rPr>
          <w:b/>
          <w:bCs/>
        </w:rPr>
        <w:t xml:space="preserve"> </w:t>
      </w:r>
    </w:p>
    <w:p w14:paraId="6884C510" w14:textId="268A710C" w:rsidR="00FB34BD" w:rsidRDefault="00FB34BD" w:rsidP="00FB34BD">
      <w:pPr>
        <w:jc w:val="both"/>
      </w:pPr>
      <w:r>
        <w:t>Τα πρώην σοβιετικά ασιατικά κράτη παρουσιάζουν σημαντικές ευκαιρίες για να γίνουν ένας σημαντικός τουριστικός προορισμός χάρη στα μοναδικά πολιτιστικά, ιστορικά, αρχαιολογικά και φυσικά χαρακτηριστικά. Το Καζακστάν, το Τατζικιστάν και το Ουζμπεκιστάν χρησιμοποιούν στρατηγικά τον τουρισμό για να οδηγήσουν την οικονομική ανάπτυξη. Ωστόσο, ο τομέας αντιμετωπίζει προβλήματα και προκλήσεις των οποίων η λύση καθυστερεί λόγω της πανδημίας Covid-19, ιδίως η έλλειψη επιδόσεων αλυσίδων εφοδιασμού και εφοδιαστικών εγκαταστάσεων, υποδομών που βρίσκονται ακόμη υπό ανάπτυξη, και σχετικά χαμηλού επιπέδου υπηρεσίες για τουρίστες. Σε ορισμένες χώρες η πολιτική θεωρήσεων και οι κάπως υψηλές τιμές θεωρούνται επίσης ανασταλτικοί παράγοντες. Λαμβάνοντας υπόψη ότι ο τουριστικός τομέας σε αυτές τις χώρες εξακολουθεί να αναπτύσσεται με πολύ ισχυρές προοπτικές ανάπτυξης, ο καθορισμός ενός βιώσιμου τουριστικού μοντέλου είναι πολύ κρίσιμος. Ο αειφόρος τουρισμός έχει τη δυνατότητα να υποστηρίξει τις αναπτυσσόμενες τοπικές οικονομίες, με σεβασμό των κοινοτήτων και προστασία των τόπων πολιτιστικής κληρονομιάς από κινδύνους υπερπληθυσμού και από ζημιές που προκαλούνται από λανθασμένη ανθρώπινη παρέμβαση καθώς και από φυσικές καταστροφές. Οι προορισμοί που γίνονται ολοένα και πιο δημοφιλείς σήμερα, όπως συμβαίνει στην Κεντρική Ασία, έχουν την ευκαιρία να αναπτύξουν με βιώσιμο τρόπο τους τουριστικούς τους τομείς και να γίνουν πρότυπα για άλλους στην περιοχή.</w:t>
      </w:r>
    </w:p>
    <w:p w14:paraId="4888EFF9" w14:textId="77777777" w:rsidR="00FB34BD" w:rsidRDefault="00FB34BD" w:rsidP="00FB34BD">
      <w:pPr>
        <w:jc w:val="both"/>
      </w:pPr>
      <w:r>
        <w:t xml:space="preserve">Το έργο MOST στοχεύει στην προώθηση ενός νέου και καλά δομημένου μοντέλου για αειφόρο τουρισμό στο Καζακστάν, το Τατζικιστάν και το Ουζμπεκιστάν, το οποίο μπορεί να συμβάλει στη διατήρηση και την ενίσχυση της τοπικής κληρονομιάς, προστατεύοντας ταυτόχρονα το φυσικό περιβάλλον. Αυτό θα επιτευχθεί μέσω της παροχής ενός κύκλου ζωής και μιας προσέγγισης διαχείρισης της εφοδιαστικής αλυσίδας για παρεμβάσεις </w:t>
      </w:r>
      <w:proofErr w:type="spellStart"/>
      <w:r>
        <w:t>αειφορίας</w:t>
      </w:r>
      <w:proofErr w:type="spellEnd"/>
      <w:r>
        <w:t xml:space="preserve"> στον τουρισμό, που καλύπτουν θέματα που κυμαίνονται από την υποστήριξη περιφερειακών πολιτικών και προγραμματισμού, υιοθέτηση προτύπων, εισαγωγή εννοιών αλυσίδας αξίας, έως την επίγνωση των σχετικών ενδιαφερομένων , επισημαίνοντας έτσι τον </w:t>
      </w:r>
      <w:proofErr w:type="spellStart"/>
      <w:r>
        <w:t>πολυτομεακό</w:t>
      </w:r>
      <w:proofErr w:type="spellEnd"/>
      <w:r>
        <w:t xml:space="preserve"> χαρακτήρα της τουριστικής βιωσιμότητας και τα οφέλη των συνεργιών μεταξύ των ενδιαφερομένων.</w:t>
      </w:r>
    </w:p>
    <w:p w14:paraId="486AF248" w14:textId="30AFD2C7" w:rsidR="00FB34BD" w:rsidRDefault="00FB34BD" w:rsidP="00FB34BD">
      <w:pPr>
        <w:jc w:val="both"/>
      </w:pPr>
      <w:r w:rsidRPr="00F70FB1">
        <w:rPr>
          <w:b/>
          <w:bCs/>
        </w:rPr>
        <w:t>Οι στόχοι</w:t>
      </w:r>
      <w:r>
        <w:t xml:space="preserve"> του έργου MOST είναι:</w:t>
      </w:r>
    </w:p>
    <w:p w14:paraId="49DD914B" w14:textId="77777777" w:rsidR="00FB34BD" w:rsidRDefault="00FB34BD" w:rsidP="00FB34BD">
      <w:pPr>
        <w:jc w:val="both"/>
      </w:pPr>
      <w:r>
        <w:t>• Υποστήριξη τουριστικών εταιρειών στις τρεις χώρες με αντικείμενο να υιοθετήσουν (SCP) πρακτικές παρέχοντας κατάλληλα εργαλεία γνώσης και ΤΠΕ.</w:t>
      </w:r>
    </w:p>
    <w:p w14:paraId="541BBB9E" w14:textId="77777777" w:rsidR="00FB34BD" w:rsidRDefault="00FB34BD" w:rsidP="00FB34BD">
      <w:pPr>
        <w:jc w:val="both"/>
      </w:pPr>
      <w:r>
        <w:t>• Υποστήριξη περιφερειακών και τοπικών αρχών για το σχεδιασμό και την εφαρμογή πολιτικών που βοηθούν την ανάπτυξη του βιώσιμου τουρισμού ·</w:t>
      </w:r>
    </w:p>
    <w:p w14:paraId="46F98047" w14:textId="77777777" w:rsidR="00FB34BD" w:rsidRDefault="00FB34BD" w:rsidP="00FB34BD">
      <w:pPr>
        <w:jc w:val="both"/>
      </w:pPr>
      <w:r>
        <w:t>• Ευαισθητοποίηση σχετικά με τον αειφόρο τουρισμό και τη συμπεριφορά των καταναλωτών σχετικά με τη βιώσιμη κατανάλωση.</w:t>
      </w:r>
    </w:p>
    <w:p w14:paraId="6CBB0280" w14:textId="77777777" w:rsidR="00FB34BD" w:rsidRDefault="00FB34BD" w:rsidP="00FB34BD">
      <w:pPr>
        <w:jc w:val="both"/>
      </w:pPr>
      <w:r>
        <w:lastRenderedPageBreak/>
        <w:t>• Ενίσχυση του διαλόγου μεταξύ αρχών, ΜΜΕ και τελικών χρηστών για περαιτέρω προώθηση υπεύθυνης κατανάλωσης και παραγωγής.</w:t>
      </w:r>
    </w:p>
    <w:p w14:paraId="5D5BD91E" w14:textId="77777777" w:rsidR="00FB34BD" w:rsidRDefault="00FB34BD" w:rsidP="00FB34BD">
      <w:pPr>
        <w:jc w:val="both"/>
      </w:pPr>
      <w:r>
        <w:t xml:space="preserve">Το έργο θα παρέμβει </w:t>
      </w:r>
      <w:r w:rsidRPr="00F70FB1">
        <w:rPr>
          <w:b/>
          <w:bCs/>
        </w:rPr>
        <w:t>σε τρία διαφορετικά επίπεδα</w:t>
      </w:r>
      <w:r>
        <w:t>:</w:t>
      </w:r>
    </w:p>
    <w:p w14:paraId="27A52E0A" w14:textId="77777777" w:rsidR="00FB34BD" w:rsidRDefault="00FB34BD" w:rsidP="00FB34BD">
      <w:pPr>
        <w:jc w:val="both"/>
      </w:pPr>
      <w:r>
        <w:t>Σε πολιτικό-θεσμικό επίπεδο, το έργο θα λειτουργήσει για την ανάπτυξη ικανοτήτων των τοπικών και περιφερειακών αρχών στον σχεδιασμό και την εφαρμογή της πολιτικής και τη σύνδεση με επενδύσεις και άλλα μέσα στήριξης. Ταυτόχρονα, το έργο θα ενισχύσει το ρόλο των τοπικών και περιφερειακών αρχών όσον αφορά τον αειφόρο τουρισμό, και θα προωθήσει το δημόσιο και πολιτικό διάλογο μεταξύ των βασικών ενδιαφερομένων και των δικαιούχων. Οι καλές / βέλτιστες πρακτικές θα μεταφερθούν τελικά σε επίπεδο πολιτικής, κανονιστικής και χρηματοοικονομικής υποστήριξης.</w:t>
      </w:r>
    </w:p>
    <w:p w14:paraId="06E3FCD2" w14:textId="77777777" w:rsidR="00FB34BD" w:rsidRDefault="00FB34BD" w:rsidP="00FB34BD">
      <w:pPr>
        <w:jc w:val="both"/>
      </w:pPr>
      <w:r>
        <w:t xml:space="preserve">Σε επίπεδο επιχειρησιακής οργάνωσης-λειτουργίας, το έργο θα λειτουργήσει για την ανάπτυξη ικανοτήτων των τουριστικών MSME. Η εκπαίδευση θα επικεντρωθεί στην αύξηση των γνώσεων και των πληροφοριών τους σχετικά με τα κριτήρια GSTC για αειφόρο τουρισμό, σχετικά πρότυπα και διαδικασίες πιστοποίησης, πράσινες προμήθειες και μεταφορά βέλτιστων πρακτικών και εργαλείων για να καταστήσουν το έργο τους πιο βιώσιμο. Το έργο θα περιλαμβάνει επίσης τον εξοπλισμό </w:t>
      </w:r>
      <w:proofErr w:type="spellStart"/>
      <w:r>
        <w:t>στοχευμένων</w:t>
      </w:r>
      <w:proofErr w:type="spellEnd"/>
      <w:r>
        <w:t xml:space="preserve"> MSME με πρότυπο / λογισμικό προετοιμασίας πιστοποίησης και πραγματική παρακολούθηση της κατανάλωσης νερού και ενέργειας καθώς και παραμέτρων άνεσης σε εσωτερικούς χώρους. Οι ομάδες-στόχοι θα υποστηριχθούν επίσης από το έργο μέσω εκπαίδευσης σε θέματα μάρκετινγκ, εντοπισμού χρηματοοικονομικών πηγών για προσαρμογή πρακτικών SPC, δικτύωσης με επενδυτές και επιχειρηματικούς αγγέλους.</w:t>
      </w:r>
    </w:p>
    <w:p w14:paraId="5C390E79" w14:textId="77777777" w:rsidR="00FB34BD" w:rsidRDefault="00FB34BD" w:rsidP="00FB34BD">
      <w:pPr>
        <w:jc w:val="both"/>
      </w:pPr>
      <w:r>
        <w:t>Σε κοινοτικό κοινωνικό επίπεδο, το έργο θα ξεκινήσει μια σειρά δραστηριοτήτων ευαισθητοποίησης για τους χρήστες τουριστικών υπηρεσιών σχετικά με τη βιώσιμη κατανάλωση στους τομείς του νερού, των αποβλήτων, της ανακύκλωσης και της ενεργειακής συμπεριφοράς, και για να προσελκύσει την προσοχή του γενικού πληθυσμού στον αειφόρο τουρισμό.</w:t>
      </w:r>
    </w:p>
    <w:p w14:paraId="134049B5" w14:textId="441B091A" w:rsidR="0031295C" w:rsidRDefault="0031295C" w:rsidP="00FB34BD">
      <w:pPr>
        <w:jc w:val="both"/>
        <w:rPr>
          <w:b/>
          <w:bCs/>
        </w:rPr>
      </w:pPr>
      <w:r w:rsidRPr="0031295C">
        <w:rPr>
          <w:b/>
          <w:bCs/>
        </w:rPr>
        <w:t>Η ενέργεια πρόκειται να εφαρμοστεί μέσω των ακόλουθων πακέτων εργασίας:</w:t>
      </w:r>
    </w:p>
    <w:p w14:paraId="1C1F3203" w14:textId="4040B11A" w:rsidR="0031295C" w:rsidRDefault="0031295C" w:rsidP="004279F6">
      <w:pPr>
        <w:pStyle w:val="ListParagraph"/>
        <w:numPr>
          <w:ilvl w:val="0"/>
          <w:numId w:val="7"/>
        </w:numPr>
        <w:spacing w:after="0"/>
        <w:jc w:val="both"/>
      </w:pPr>
      <w:r>
        <w:t>Π</w:t>
      </w:r>
      <w:r w:rsidRPr="0031295C">
        <w:t>.</w:t>
      </w:r>
      <w:r>
        <w:t>Ε</w:t>
      </w:r>
      <w:r w:rsidRPr="0031295C">
        <w:t xml:space="preserve">. 1: Δημιουργία ικανοτήτων τουριστικών ΜΜΕ και ένωση για την προσαρμογή των περιβαλλοντικών προτύπων της ΕΕ και για την υποστήριξη τεχνολογικών  </w:t>
      </w:r>
    </w:p>
    <w:p w14:paraId="25DD9DE0" w14:textId="0226E157" w:rsidR="0031295C" w:rsidRDefault="001E0E19" w:rsidP="004279F6">
      <w:pPr>
        <w:pStyle w:val="ListParagraph"/>
        <w:numPr>
          <w:ilvl w:val="0"/>
          <w:numId w:val="7"/>
        </w:numPr>
        <w:spacing w:after="0"/>
        <w:jc w:val="both"/>
      </w:pPr>
      <w:r>
        <w:t xml:space="preserve">Π.Ε. 2: </w:t>
      </w:r>
      <w:r w:rsidRPr="001E0E19">
        <w:t>Υποστήριξη της εφαρμογής του SCP</w:t>
      </w:r>
    </w:p>
    <w:p w14:paraId="6EFB1FEA" w14:textId="3F3BE708" w:rsidR="005E5CF7" w:rsidRDefault="005E5CF7" w:rsidP="004279F6">
      <w:pPr>
        <w:pStyle w:val="ListParagraph"/>
        <w:numPr>
          <w:ilvl w:val="0"/>
          <w:numId w:val="7"/>
        </w:numPr>
        <w:spacing w:after="0"/>
        <w:jc w:val="both"/>
      </w:pPr>
      <w:r w:rsidRPr="005E5CF7">
        <w:t>Π</w:t>
      </w:r>
      <w:r>
        <w:t>.</w:t>
      </w:r>
      <w:r w:rsidRPr="005E5CF7">
        <w:t>Ε</w:t>
      </w:r>
      <w:r>
        <w:t>.</w:t>
      </w:r>
      <w:r w:rsidRPr="005E5CF7">
        <w:t xml:space="preserve"> 3</w:t>
      </w:r>
      <w:r>
        <w:t>:</w:t>
      </w:r>
      <w:r w:rsidRPr="005E5CF7">
        <w:t xml:space="preserve"> Ενίσχυση του ρόλου των περιφερειακών και τοπικών αρχών στη βιώσιμη ανάπτυξη και ενίσχυση του δημόσιου διαλόγου</w:t>
      </w:r>
    </w:p>
    <w:p w14:paraId="229A9F5E" w14:textId="486EAE03" w:rsidR="005E5CF7" w:rsidRDefault="005E5CF7" w:rsidP="004279F6">
      <w:pPr>
        <w:pStyle w:val="ListParagraph"/>
        <w:numPr>
          <w:ilvl w:val="0"/>
          <w:numId w:val="7"/>
        </w:numPr>
        <w:spacing w:after="0"/>
        <w:jc w:val="both"/>
      </w:pPr>
      <w:r w:rsidRPr="005E5CF7">
        <w:t>Π.Ε. 4: Ευαισθητοποίηση των χρηστών</w:t>
      </w:r>
      <w:r>
        <w:t xml:space="preserve"> / καταναλωτών </w:t>
      </w:r>
      <w:r w:rsidRPr="005E5CF7">
        <w:t xml:space="preserve"> τουριστικών υπηρεσιών σχετικά με τη βιώσιμη κατανάλωση στον τομέα του νερού, των αποβλήτων, της ανακύκλωσης και της ενεργειακής συμπεριφοράς</w:t>
      </w:r>
    </w:p>
    <w:p w14:paraId="289451AB" w14:textId="0DDA1135" w:rsidR="005E5CF7" w:rsidRDefault="005E5CF7" w:rsidP="004279F6">
      <w:pPr>
        <w:pStyle w:val="ListParagraph"/>
        <w:numPr>
          <w:ilvl w:val="0"/>
          <w:numId w:val="7"/>
        </w:numPr>
        <w:spacing w:after="0"/>
        <w:jc w:val="both"/>
      </w:pPr>
      <w:r w:rsidRPr="005E5CF7">
        <w:t>Π</w:t>
      </w:r>
      <w:r w:rsidRPr="004279F6">
        <w:t>.</w:t>
      </w:r>
      <w:r w:rsidRPr="005E5CF7">
        <w:t>Ε</w:t>
      </w:r>
      <w:r w:rsidRPr="004279F6">
        <w:t>.</w:t>
      </w:r>
      <w:r w:rsidRPr="005E5CF7">
        <w:t xml:space="preserve"> 5: Διάδοση</w:t>
      </w:r>
    </w:p>
    <w:p w14:paraId="52A6374C" w14:textId="5FAC856B" w:rsidR="005E5CF7" w:rsidRDefault="005E5CF7" w:rsidP="005E5CF7">
      <w:pPr>
        <w:pStyle w:val="ListParagraph"/>
        <w:numPr>
          <w:ilvl w:val="0"/>
          <w:numId w:val="7"/>
        </w:numPr>
        <w:spacing w:after="0"/>
        <w:jc w:val="both"/>
      </w:pPr>
      <w:r w:rsidRPr="004279F6">
        <w:t>Π.Ε. 6: Διαχείριση έργου</w:t>
      </w:r>
    </w:p>
    <w:p w14:paraId="788742EB" w14:textId="77777777" w:rsidR="00F70FB1" w:rsidRPr="004279F6" w:rsidRDefault="00F70FB1" w:rsidP="00F70FB1">
      <w:pPr>
        <w:spacing w:after="0"/>
        <w:ind w:left="360"/>
        <w:jc w:val="both"/>
      </w:pPr>
    </w:p>
    <w:p w14:paraId="06CE9744" w14:textId="77777777" w:rsidR="00FB34BD" w:rsidRPr="00FB34BD" w:rsidRDefault="00FB34BD" w:rsidP="004279F6">
      <w:pPr>
        <w:jc w:val="both"/>
      </w:pPr>
      <w:r w:rsidRPr="00FB34BD">
        <w:t xml:space="preserve">Η υλοποίηση του έργου αναμένεται να οδηγήσει στα </w:t>
      </w:r>
      <w:r w:rsidRPr="00F70FB1">
        <w:rPr>
          <w:b/>
          <w:bCs/>
        </w:rPr>
        <w:t>ακόλουθα αποτελέσματα</w:t>
      </w:r>
      <w:r w:rsidRPr="00FB34BD">
        <w:t>:</w:t>
      </w:r>
    </w:p>
    <w:p w14:paraId="3E8DAF4B" w14:textId="77777777" w:rsidR="00FB34BD" w:rsidRPr="00FB34BD" w:rsidRDefault="00FB34BD" w:rsidP="004279F6">
      <w:pPr>
        <w:spacing w:after="0"/>
        <w:ind w:left="360"/>
        <w:jc w:val="both"/>
      </w:pPr>
      <w:r w:rsidRPr="00FB34BD">
        <w:t>• 380 MSME τουρισμού που εκπαιδεύτηκαν στη χρήση εργαλείων και μεθοδολογιών και προτύπων SCP (κριτήρια GSTC και σχετικά πρότυπα και πράσινες προμήθειες).</w:t>
      </w:r>
    </w:p>
    <w:p w14:paraId="5C8AB4CC" w14:textId="77777777" w:rsidR="00FB34BD" w:rsidRPr="00FB34BD" w:rsidRDefault="00FB34BD" w:rsidP="004279F6">
      <w:pPr>
        <w:spacing w:after="0"/>
        <w:ind w:left="360"/>
        <w:jc w:val="both"/>
      </w:pPr>
      <w:r w:rsidRPr="00FB34BD">
        <w:t>• 440 MSME τουρισμού στο Ουζμπεκιστάν, το Τατζικιστάν και το Καζακστάν εξοπλισμένα με κατάλληλα εργαλεία και γνώσεις ΤΠΕ για την υιοθέτηση πρακτικών SCP.</w:t>
      </w:r>
    </w:p>
    <w:p w14:paraId="5046ED2B" w14:textId="77777777" w:rsidR="00FB34BD" w:rsidRPr="00FB34BD" w:rsidRDefault="00FB34BD" w:rsidP="004279F6">
      <w:pPr>
        <w:spacing w:after="0"/>
        <w:ind w:left="360"/>
        <w:jc w:val="both"/>
      </w:pPr>
      <w:r w:rsidRPr="00FB34BD">
        <w:t>• Τουλάχιστον 50 τουριστικές MSME εκπαιδευμένες σε εργαλεία μάρκετινγκ.</w:t>
      </w:r>
    </w:p>
    <w:p w14:paraId="4C057C83" w14:textId="77777777" w:rsidR="00FB34BD" w:rsidRPr="00FB34BD" w:rsidRDefault="00FB34BD" w:rsidP="004279F6">
      <w:pPr>
        <w:spacing w:after="0"/>
        <w:ind w:left="360"/>
        <w:jc w:val="both"/>
      </w:pPr>
      <w:r w:rsidRPr="00FB34BD">
        <w:lastRenderedPageBreak/>
        <w:t>• Ενισχυμένος διάλογος μεταξύ κρατικών φορέων και επιχειρηματικού τομέα για βιώσιμο τουρισμό</w:t>
      </w:r>
    </w:p>
    <w:p w14:paraId="09868B07" w14:textId="77777777" w:rsidR="00FB34BD" w:rsidRPr="00FB34BD" w:rsidRDefault="00FB34BD" w:rsidP="004279F6">
      <w:pPr>
        <w:spacing w:after="0"/>
        <w:ind w:left="360"/>
        <w:jc w:val="both"/>
      </w:pPr>
      <w:r w:rsidRPr="00FB34BD">
        <w:t>• Συστάσεις που διατυπώθηκαν για την υιοθέτηση βιώσιμου τουρισμού στο Ουζμπεκιστάν, το Τατζικιστάν και το Καζακστάν.</w:t>
      </w:r>
    </w:p>
    <w:p w14:paraId="0990526E" w14:textId="77777777" w:rsidR="00FB34BD" w:rsidRPr="00FB34BD" w:rsidRDefault="00FB34BD" w:rsidP="004279F6">
      <w:pPr>
        <w:spacing w:after="0"/>
        <w:ind w:left="360"/>
        <w:jc w:val="both"/>
      </w:pPr>
      <w:r w:rsidRPr="00FB34BD">
        <w:t>• Τοπικές και περιφερειακές αρχές υποστηρίζονται στον σχεδιασμό πολιτικής και τη σύνδεσή της με επενδύσεις και άλλα μέσα στήριξης.</w:t>
      </w:r>
    </w:p>
    <w:p w14:paraId="00B6F2FF" w14:textId="77777777" w:rsidR="00FB34BD" w:rsidRPr="00FB34BD" w:rsidRDefault="00FB34BD" w:rsidP="004279F6">
      <w:pPr>
        <w:spacing w:after="0"/>
        <w:ind w:left="360"/>
        <w:jc w:val="both"/>
      </w:pPr>
      <w:r w:rsidRPr="00FB34BD">
        <w:t>• Ευαισθητοποίηση σχετικά με τη βιώσιμη χρήση νερού και ενέργειας.</w:t>
      </w:r>
    </w:p>
    <w:p w14:paraId="0594DA7C" w14:textId="77777777" w:rsidR="00FB34BD" w:rsidRPr="00FB34BD" w:rsidRDefault="00FB34BD" w:rsidP="004279F6">
      <w:pPr>
        <w:spacing w:after="0"/>
        <w:ind w:left="360"/>
        <w:jc w:val="both"/>
      </w:pPr>
      <w:r w:rsidRPr="00FB34BD">
        <w:t>• Πρόσβαση των ΜΜΕ για χρηματοδότηση που προωθούνται.</w:t>
      </w:r>
    </w:p>
    <w:p w14:paraId="3A8E8337" w14:textId="77777777" w:rsidR="00FB34BD" w:rsidRPr="00FB34BD" w:rsidRDefault="00FB34BD" w:rsidP="004279F6">
      <w:pPr>
        <w:spacing w:after="0"/>
        <w:ind w:left="360"/>
        <w:jc w:val="both"/>
      </w:pPr>
      <w:r w:rsidRPr="00FB34BD">
        <w:t>• Ενίσχυση του ρόλου των τοπικών και περιφερειακών αρχών στον αειφόρο τουρισμό · και</w:t>
      </w:r>
    </w:p>
    <w:p w14:paraId="084CB4DA" w14:textId="77777777" w:rsidR="00FB34BD" w:rsidRPr="00FB34BD" w:rsidRDefault="00FB34BD" w:rsidP="004279F6">
      <w:pPr>
        <w:spacing w:after="0"/>
        <w:ind w:left="360"/>
        <w:jc w:val="both"/>
      </w:pPr>
      <w:r w:rsidRPr="00FB34BD">
        <w:t>• Πρακτικές SCP που υιοθετούνται στον τομέα του τουρισμού.</w:t>
      </w:r>
    </w:p>
    <w:p w14:paraId="2CCF05EA" w14:textId="77777777" w:rsidR="004279F6" w:rsidRDefault="004279F6" w:rsidP="004279F6">
      <w:pPr>
        <w:jc w:val="both"/>
      </w:pPr>
    </w:p>
    <w:p w14:paraId="39585A75" w14:textId="6435DFE0" w:rsidR="00FB34BD" w:rsidRDefault="00205355" w:rsidP="00FD2E02">
      <w:pPr>
        <w:jc w:val="both"/>
      </w:pPr>
      <w:r>
        <w:t xml:space="preserve">Η Αναπτυξιακή Ηρακλείου </w:t>
      </w:r>
      <w:r w:rsidR="004279F6">
        <w:t xml:space="preserve">είναι ο </w:t>
      </w:r>
      <w:r w:rsidRPr="00F70FB1">
        <w:rPr>
          <w:b/>
          <w:bCs/>
        </w:rPr>
        <w:t>συντονιστή</w:t>
      </w:r>
      <w:r w:rsidR="004279F6" w:rsidRPr="00F70FB1">
        <w:rPr>
          <w:b/>
          <w:bCs/>
        </w:rPr>
        <w:t>ς</w:t>
      </w:r>
      <w:r w:rsidRPr="00F70FB1">
        <w:rPr>
          <w:b/>
          <w:bCs/>
        </w:rPr>
        <w:t xml:space="preserve"> εταίρο</w:t>
      </w:r>
      <w:r w:rsidR="004279F6" w:rsidRPr="00F70FB1">
        <w:rPr>
          <w:b/>
          <w:bCs/>
        </w:rPr>
        <w:t>ς</w:t>
      </w:r>
      <w:r>
        <w:t xml:space="preserve"> του </w:t>
      </w:r>
      <w:r>
        <w:rPr>
          <w:lang w:val="en-US"/>
        </w:rPr>
        <w:t>Project</w:t>
      </w:r>
      <w:r w:rsidRPr="00205355">
        <w:t xml:space="preserve">, </w:t>
      </w:r>
      <w:r>
        <w:t>αναλαμβάνοντας τον συντονισμό και την παρακολούθηση του προγράμματος, την κατανομή</w:t>
      </w:r>
      <w:r w:rsidR="00DD5E12">
        <w:t xml:space="preserve"> και την παρακολούθηση</w:t>
      </w:r>
      <w:r>
        <w:t xml:space="preserve"> του προϋπολογισμού, καθώς και την συλλογή και τον έλεγχο των </w:t>
      </w:r>
      <w:r w:rsidR="00DD5E12">
        <w:t>δικαιολογητικών</w:t>
      </w:r>
      <w:r>
        <w:t xml:space="preserve">. </w:t>
      </w:r>
      <w:bookmarkStart w:id="0" w:name="_GoBack"/>
      <w:bookmarkEnd w:id="0"/>
    </w:p>
    <w:p w14:paraId="5494DF47" w14:textId="77777777" w:rsidR="00F70FB1" w:rsidRDefault="00F70FB1" w:rsidP="00F70FB1">
      <w:pPr>
        <w:rPr>
          <w:b/>
          <w:bCs/>
          <w:lang w:val="en-US"/>
        </w:rPr>
      </w:pPr>
      <w:r>
        <w:rPr>
          <w:b/>
          <w:bCs/>
          <w:color w:val="000000"/>
        </w:rPr>
        <w:t>ΠΡΟΫΠΟΛΟΓΙΣΜΟΣ</w:t>
      </w:r>
    </w:p>
    <w:tbl>
      <w:tblPr>
        <w:tblW w:w="8222" w:type="dxa"/>
        <w:tblInd w:w="-10" w:type="dxa"/>
        <w:tblCellMar>
          <w:left w:w="0" w:type="dxa"/>
          <w:right w:w="0" w:type="dxa"/>
        </w:tblCellMar>
        <w:tblLook w:val="04A0" w:firstRow="1" w:lastRow="0" w:firstColumn="1" w:lastColumn="0" w:noHBand="0" w:noVBand="1"/>
      </w:tblPr>
      <w:tblGrid>
        <w:gridCol w:w="3112"/>
        <w:gridCol w:w="1566"/>
        <w:gridCol w:w="1888"/>
        <w:gridCol w:w="1656"/>
      </w:tblGrid>
      <w:tr w:rsidR="00F70FB1" w14:paraId="488EE7A6" w14:textId="77777777" w:rsidTr="009438FA">
        <w:trPr>
          <w:trHeight w:val="300"/>
        </w:trPr>
        <w:tc>
          <w:tcPr>
            <w:tcW w:w="3112" w:type="dxa"/>
            <w:tcBorders>
              <w:top w:val="single" w:sz="8" w:space="0" w:color="auto"/>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6E4689EC" w14:textId="77777777" w:rsidR="00F70FB1" w:rsidRPr="00CE1809" w:rsidRDefault="00F70FB1" w:rsidP="009438FA">
            <w:pPr>
              <w:rPr>
                <w:b/>
                <w:bCs/>
                <w:color w:val="000000"/>
              </w:rPr>
            </w:pPr>
            <w:r>
              <w:rPr>
                <w:color w:val="000000"/>
              </w:rPr>
              <w:t> </w:t>
            </w:r>
            <w:r w:rsidRPr="00CE1809">
              <w:rPr>
                <w:b/>
                <w:bCs/>
                <w:color w:val="000000"/>
              </w:rPr>
              <w:t xml:space="preserve">ΕΤΑΙΡΟΣ </w:t>
            </w:r>
          </w:p>
        </w:tc>
        <w:tc>
          <w:tcPr>
            <w:tcW w:w="1566" w:type="dxa"/>
            <w:tcBorders>
              <w:top w:val="single" w:sz="4" w:space="0" w:color="auto"/>
              <w:left w:val="single" w:sz="4" w:space="0" w:color="auto"/>
              <w:bottom w:val="single" w:sz="4" w:space="0" w:color="auto"/>
              <w:right w:val="single" w:sz="4" w:space="0" w:color="auto"/>
            </w:tcBorders>
          </w:tcPr>
          <w:p w14:paraId="2326087D" w14:textId="77777777" w:rsidR="00F70FB1" w:rsidRDefault="00F70FB1" w:rsidP="009438FA">
            <w:pPr>
              <w:jc w:val="center"/>
              <w:rPr>
                <w:b/>
                <w:bCs/>
                <w:color w:val="000000"/>
              </w:rPr>
            </w:pPr>
            <w:r>
              <w:rPr>
                <w:b/>
                <w:bCs/>
                <w:color w:val="000000"/>
              </w:rPr>
              <w:t>ΧΩΡΑ</w:t>
            </w:r>
          </w:p>
        </w:tc>
        <w:tc>
          <w:tcPr>
            <w:tcW w:w="3544" w:type="dxa"/>
            <w:gridSpan w:val="2"/>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52070AA" w14:textId="77777777" w:rsidR="00F70FB1" w:rsidRDefault="00F70FB1" w:rsidP="009438FA">
            <w:pPr>
              <w:jc w:val="center"/>
              <w:rPr>
                <w:b/>
                <w:bCs/>
                <w:color w:val="000000"/>
              </w:rPr>
            </w:pPr>
            <w:r>
              <w:rPr>
                <w:b/>
                <w:bCs/>
                <w:color w:val="000000"/>
              </w:rPr>
              <w:t>ΣΥΝΟΛΙΚΟΣ ΠΡΟΫΠΟΛΟΓΙΣΜΟΣ</w:t>
            </w:r>
          </w:p>
        </w:tc>
      </w:tr>
      <w:tr w:rsidR="00F70FB1" w14:paraId="5E65298C"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2D59A67E" w14:textId="77777777" w:rsidR="00F70FB1" w:rsidRDefault="00F70FB1" w:rsidP="009438FA">
            <w:pPr>
              <w:rPr>
                <w:b/>
                <w:bCs/>
                <w:color w:val="000000"/>
              </w:rPr>
            </w:pPr>
            <w:r>
              <w:rPr>
                <w:b/>
                <w:bCs/>
                <w:color w:val="000000"/>
              </w:rPr>
              <w:t>Αναπτυξιακή Ηρακλείου ΑΑΕ ΟΤΑ</w:t>
            </w:r>
          </w:p>
        </w:tc>
        <w:tc>
          <w:tcPr>
            <w:tcW w:w="1566" w:type="dxa"/>
            <w:tcBorders>
              <w:top w:val="single" w:sz="4" w:space="0" w:color="auto"/>
              <w:left w:val="single" w:sz="4" w:space="0" w:color="auto"/>
              <w:bottom w:val="single" w:sz="4" w:space="0" w:color="auto"/>
              <w:right w:val="single" w:sz="4" w:space="0" w:color="auto"/>
            </w:tcBorders>
          </w:tcPr>
          <w:p w14:paraId="63550BC9" w14:textId="77777777" w:rsidR="00F70FB1" w:rsidRDefault="00F70FB1" w:rsidP="009438FA">
            <w:pPr>
              <w:jc w:val="center"/>
              <w:rPr>
                <w:color w:val="000000"/>
              </w:rPr>
            </w:pPr>
            <w:r>
              <w:rPr>
                <w:color w:val="000000"/>
              </w:rPr>
              <w:t>Ελλάδα</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0B1F9F5" w14:textId="77777777" w:rsidR="00F70FB1" w:rsidRDefault="00F70FB1" w:rsidP="009438FA">
            <w:pPr>
              <w:jc w:val="right"/>
              <w:rPr>
                <w:color w:val="000000"/>
              </w:rPr>
            </w:pPr>
            <w:r>
              <w:rPr>
                <w:color w:val="000000"/>
              </w:rPr>
              <w:t>330.313,28 €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F00F9" w14:textId="77777777" w:rsidR="00F70FB1" w:rsidRDefault="00F70FB1" w:rsidP="009438FA">
            <w:pPr>
              <w:jc w:val="right"/>
              <w:rPr>
                <w:color w:val="000000"/>
              </w:rPr>
            </w:pPr>
            <w:r>
              <w:rPr>
                <w:color w:val="000000"/>
              </w:rPr>
              <w:t>81.935,92 €</w:t>
            </w:r>
          </w:p>
        </w:tc>
      </w:tr>
      <w:tr w:rsidR="00F70FB1" w14:paraId="43BD504D"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69F7B892" w14:textId="77777777" w:rsidR="00F70FB1" w:rsidRDefault="00F70FB1" w:rsidP="009438FA">
            <w:pPr>
              <w:rPr>
                <w:b/>
                <w:bCs/>
                <w:color w:val="000000"/>
              </w:rPr>
            </w:pPr>
            <w:r>
              <w:rPr>
                <w:b/>
                <w:bCs/>
                <w:color w:val="000000"/>
              </w:rPr>
              <w:t>EUROPEAN PROFILES</w:t>
            </w:r>
          </w:p>
        </w:tc>
        <w:tc>
          <w:tcPr>
            <w:tcW w:w="1566" w:type="dxa"/>
            <w:tcBorders>
              <w:top w:val="single" w:sz="4" w:space="0" w:color="auto"/>
              <w:left w:val="single" w:sz="4" w:space="0" w:color="auto"/>
              <w:bottom w:val="single" w:sz="4" w:space="0" w:color="auto"/>
              <w:right w:val="single" w:sz="4" w:space="0" w:color="auto"/>
            </w:tcBorders>
          </w:tcPr>
          <w:p w14:paraId="5F70BBA3" w14:textId="77777777" w:rsidR="00F70FB1" w:rsidRDefault="00F70FB1" w:rsidP="009438FA">
            <w:pPr>
              <w:jc w:val="center"/>
            </w:pPr>
            <w:r>
              <w:t>Ελλάδα</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2DB4D10" w14:textId="77777777" w:rsidR="00F70FB1" w:rsidRDefault="00F70FB1" w:rsidP="009438FA">
            <w:pPr>
              <w:jc w:val="right"/>
            </w:pPr>
            <w:r>
              <w:t>356.558,24 €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28010E" w14:textId="77777777" w:rsidR="00F70FB1" w:rsidRDefault="00F70FB1" w:rsidP="009438FA">
            <w:pPr>
              <w:jc w:val="right"/>
            </w:pPr>
            <w:r>
              <w:t>89.139,56 €</w:t>
            </w:r>
          </w:p>
        </w:tc>
      </w:tr>
      <w:tr w:rsidR="00F70FB1" w14:paraId="7748943A"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50BE7F20" w14:textId="77777777" w:rsidR="00F70FB1" w:rsidRPr="00CE1809" w:rsidRDefault="00F70FB1" w:rsidP="009438FA">
            <w:pPr>
              <w:rPr>
                <w:b/>
                <w:bCs/>
                <w:color w:val="000000"/>
                <w:lang w:val="en-US"/>
              </w:rPr>
            </w:pPr>
            <w:r w:rsidRPr="00CE1809">
              <w:rPr>
                <w:b/>
                <w:bCs/>
                <w:lang w:val="en-US"/>
              </w:rPr>
              <w:t>Association of Private Tourism Agencies of Uzbekistan</w:t>
            </w:r>
            <w:r w:rsidRPr="0031295C">
              <w:rPr>
                <w:lang w:val="en-US"/>
              </w:rPr>
              <w:t xml:space="preserve"> </w:t>
            </w:r>
            <w:r w:rsidRPr="00CE1809">
              <w:rPr>
                <w:b/>
                <w:bCs/>
                <w:color w:val="000000"/>
                <w:lang w:val="en-US"/>
              </w:rPr>
              <w:t>APTA</w:t>
            </w:r>
          </w:p>
        </w:tc>
        <w:tc>
          <w:tcPr>
            <w:tcW w:w="1566" w:type="dxa"/>
            <w:tcBorders>
              <w:top w:val="single" w:sz="4" w:space="0" w:color="auto"/>
              <w:left w:val="single" w:sz="4" w:space="0" w:color="auto"/>
              <w:bottom w:val="single" w:sz="4" w:space="0" w:color="auto"/>
              <w:right w:val="single" w:sz="4" w:space="0" w:color="auto"/>
            </w:tcBorders>
          </w:tcPr>
          <w:p w14:paraId="371FD0B5" w14:textId="77777777" w:rsidR="00F70FB1" w:rsidRPr="00CE1809" w:rsidRDefault="00F70FB1" w:rsidP="009438FA">
            <w:pPr>
              <w:jc w:val="center"/>
              <w:rPr>
                <w:color w:val="000000"/>
              </w:rPr>
            </w:pPr>
            <w:r>
              <w:rPr>
                <w:color w:val="000000"/>
              </w:rPr>
              <w:t>Ουζμπεκιστάν</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A9680AD" w14:textId="77777777" w:rsidR="00F70FB1" w:rsidRDefault="00F70FB1" w:rsidP="009438FA">
            <w:pPr>
              <w:jc w:val="right"/>
              <w:rPr>
                <w:color w:val="000000"/>
              </w:rPr>
            </w:pPr>
            <w:r>
              <w:rPr>
                <w:color w:val="000000"/>
              </w:rPr>
              <w:t>236.752,48 €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34D47" w14:textId="77777777" w:rsidR="00F70FB1" w:rsidRDefault="00F70FB1" w:rsidP="009438FA">
            <w:pPr>
              <w:jc w:val="right"/>
              <w:rPr>
                <w:color w:val="000000"/>
              </w:rPr>
            </w:pPr>
            <w:r>
              <w:rPr>
                <w:color w:val="000000"/>
              </w:rPr>
              <w:t>59.188,12 €</w:t>
            </w:r>
          </w:p>
        </w:tc>
      </w:tr>
      <w:tr w:rsidR="00F70FB1" w14:paraId="7FC24D39"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366B6371" w14:textId="77777777" w:rsidR="00F70FB1" w:rsidRDefault="00F70FB1" w:rsidP="009438FA">
            <w:pPr>
              <w:rPr>
                <w:b/>
                <w:bCs/>
                <w:color w:val="000000"/>
              </w:rPr>
            </w:pPr>
            <w:r w:rsidRPr="00CE1809">
              <w:rPr>
                <w:b/>
                <w:bCs/>
                <w:lang w:val="en-US"/>
              </w:rPr>
              <w:t>Eurasian Tourism Association</w:t>
            </w:r>
            <w:r w:rsidRPr="001E0E19">
              <w:rPr>
                <w:lang w:val="en-US"/>
              </w:rPr>
              <w:t xml:space="preserve"> </w:t>
            </w:r>
            <w:r>
              <w:rPr>
                <w:b/>
                <w:bCs/>
                <w:color w:val="000000"/>
              </w:rPr>
              <w:t>ETA</w:t>
            </w:r>
          </w:p>
        </w:tc>
        <w:tc>
          <w:tcPr>
            <w:tcW w:w="1566" w:type="dxa"/>
            <w:tcBorders>
              <w:top w:val="single" w:sz="4" w:space="0" w:color="auto"/>
              <w:left w:val="single" w:sz="4" w:space="0" w:color="auto"/>
              <w:bottom w:val="single" w:sz="4" w:space="0" w:color="auto"/>
              <w:right w:val="single" w:sz="4" w:space="0" w:color="auto"/>
            </w:tcBorders>
          </w:tcPr>
          <w:p w14:paraId="50D2AEF5" w14:textId="77777777" w:rsidR="00F70FB1" w:rsidRDefault="00F70FB1" w:rsidP="009438FA">
            <w:pPr>
              <w:jc w:val="center"/>
              <w:rPr>
                <w:color w:val="000000"/>
              </w:rPr>
            </w:pPr>
            <w:r>
              <w:rPr>
                <w:color w:val="000000"/>
              </w:rPr>
              <w:t>Καζακστάν</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D8EBCBA" w14:textId="77777777" w:rsidR="00F70FB1" w:rsidRDefault="00F70FB1" w:rsidP="009438FA">
            <w:pPr>
              <w:jc w:val="right"/>
              <w:rPr>
                <w:color w:val="000000"/>
              </w:rPr>
            </w:pPr>
            <w:r>
              <w:rPr>
                <w:color w:val="000000"/>
              </w:rPr>
              <w:t>210.507,52 €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EB0F9A" w14:textId="77777777" w:rsidR="00F70FB1" w:rsidRDefault="00F70FB1" w:rsidP="009438FA">
            <w:pPr>
              <w:jc w:val="right"/>
              <w:rPr>
                <w:color w:val="000000"/>
              </w:rPr>
            </w:pPr>
            <w:r>
              <w:rPr>
                <w:color w:val="000000"/>
              </w:rPr>
              <w:t>52.626,88 €</w:t>
            </w:r>
          </w:p>
        </w:tc>
      </w:tr>
      <w:tr w:rsidR="00F70FB1" w14:paraId="680B44B5"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5C199272" w14:textId="77777777" w:rsidR="00F70FB1" w:rsidRDefault="00F70FB1" w:rsidP="009438FA">
            <w:pPr>
              <w:rPr>
                <w:b/>
                <w:bCs/>
                <w:color w:val="000000"/>
              </w:rPr>
            </w:pPr>
            <w:r w:rsidRPr="00CE1809">
              <w:rPr>
                <w:b/>
                <w:bCs/>
                <w:lang w:val="en-US"/>
              </w:rPr>
              <w:t>APPLIED INDUSTRIAL TECHNOLOGIES</w:t>
            </w:r>
            <w:r>
              <w:rPr>
                <w:lang w:val="en-US"/>
              </w:rPr>
              <w:t xml:space="preserve"> </w:t>
            </w:r>
            <w:r>
              <w:rPr>
                <w:b/>
                <w:bCs/>
                <w:color w:val="000000"/>
              </w:rPr>
              <w:t>APINTECH</w:t>
            </w:r>
          </w:p>
        </w:tc>
        <w:tc>
          <w:tcPr>
            <w:tcW w:w="1566" w:type="dxa"/>
            <w:tcBorders>
              <w:top w:val="single" w:sz="4" w:space="0" w:color="auto"/>
              <w:left w:val="single" w:sz="4" w:space="0" w:color="auto"/>
              <w:bottom w:val="single" w:sz="4" w:space="0" w:color="auto"/>
              <w:right w:val="single" w:sz="4" w:space="0" w:color="auto"/>
            </w:tcBorders>
          </w:tcPr>
          <w:p w14:paraId="5C13FA4D" w14:textId="77777777" w:rsidR="00F70FB1" w:rsidRDefault="00F70FB1" w:rsidP="009438FA">
            <w:pPr>
              <w:jc w:val="center"/>
              <w:rPr>
                <w:color w:val="000000"/>
              </w:rPr>
            </w:pPr>
            <w:r>
              <w:rPr>
                <w:color w:val="000000"/>
              </w:rPr>
              <w:t>Κύπρος</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576427A" w14:textId="77777777" w:rsidR="00F70FB1" w:rsidRDefault="00F70FB1" w:rsidP="009438FA">
            <w:pPr>
              <w:jc w:val="right"/>
              <w:rPr>
                <w:color w:val="000000"/>
              </w:rPr>
            </w:pPr>
            <w:r>
              <w:rPr>
                <w:color w:val="000000"/>
              </w:rPr>
              <w:t>172.158,72 €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10861" w14:textId="77777777" w:rsidR="00F70FB1" w:rsidRDefault="00F70FB1" w:rsidP="009438FA">
            <w:pPr>
              <w:jc w:val="right"/>
              <w:rPr>
                <w:color w:val="000000"/>
              </w:rPr>
            </w:pPr>
            <w:r>
              <w:rPr>
                <w:color w:val="000000"/>
              </w:rPr>
              <w:t>43.039,68 €</w:t>
            </w:r>
          </w:p>
        </w:tc>
      </w:tr>
      <w:tr w:rsidR="00F70FB1" w14:paraId="0C96EF7A"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1357BAEF" w14:textId="77777777" w:rsidR="00F70FB1" w:rsidRPr="00CE1809" w:rsidRDefault="00F70FB1" w:rsidP="009438FA">
            <w:pPr>
              <w:rPr>
                <w:b/>
                <w:bCs/>
                <w:color w:val="000000"/>
                <w:lang w:val="en-US"/>
              </w:rPr>
            </w:pPr>
            <w:r w:rsidRPr="00CE1809">
              <w:rPr>
                <w:b/>
                <w:bCs/>
                <w:lang w:val="en-US"/>
              </w:rPr>
              <w:t>Latvian Country Tourism Association</w:t>
            </w:r>
            <w:r w:rsidRPr="0031295C">
              <w:rPr>
                <w:lang w:val="en-US"/>
              </w:rPr>
              <w:t xml:space="preserve"> </w:t>
            </w:r>
            <w:r w:rsidRPr="00CE1809">
              <w:rPr>
                <w:b/>
                <w:bCs/>
                <w:color w:val="000000"/>
                <w:lang w:val="en-US"/>
              </w:rPr>
              <w:t>LCTA</w:t>
            </w:r>
          </w:p>
        </w:tc>
        <w:tc>
          <w:tcPr>
            <w:tcW w:w="1566" w:type="dxa"/>
            <w:tcBorders>
              <w:top w:val="single" w:sz="4" w:space="0" w:color="auto"/>
              <w:left w:val="single" w:sz="4" w:space="0" w:color="auto"/>
              <w:bottom w:val="single" w:sz="4" w:space="0" w:color="auto"/>
              <w:right w:val="single" w:sz="4" w:space="0" w:color="auto"/>
            </w:tcBorders>
          </w:tcPr>
          <w:p w14:paraId="27AB1ADF" w14:textId="77777777" w:rsidR="00F70FB1" w:rsidRPr="00CE1809" w:rsidRDefault="00F70FB1" w:rsidP="009438FA">
            <w:pPr>
              <w:jc w:val="center"/>
              <w:rPr>
                <w:color w:val="000000"/>
              </w:rPr>
            </w:pPr>
            <w:r>
              <w:rPr>
                <w:color w:val="000000"/>
              </w:rPr>
              <w:t xml:space="preserve">Λετονία </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32B1C1" w14:textId="77777777" w:rsidR="00F70FB1" w:rsidRDefault="00F70FB1" w:rsidP="009438FA">
            <w:pPr>
              <w:jc w:val="right"/>
              <w:rPr>
                <w:color w:val="000000"/>
              </w:rPr>
            </w:pPr>
            <w:r>
              <w:rPr>
                <w:color w:val="000000"/>
              </w:rPr>
              <w:t>142.395,60 €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DA23AA" w14:textId="77777777" w:rsidR="00F70FB1" w:rsidRDefault="00F70FB1" w:rsidP="009438FA">
            <w:pPr>
              <w:jc w:val="right"/>
              <w:rPr>
                <w:color w:val="000000"/>
              </w:rPr>
            </w:pPr>
            <w:r>
              <w:rPr>
                <w:color w:val="000000"/>
              </w:rPr>
              <w:t>35.598,90 €</w:t>
            </w:r>
          </w:p>
        </w:tc>
      </w:tr>
      <w:tr w:rsidR="00F70FB1" w14:paraId="1D5C8485" w14:textId="77777777" w:rsidTr="009438FA">
        <w:trPr>
          <w:trHeight w:val="300"/>
        </w:trPr>
        <w:tc>
          <w:tcPr>
            <w:tcW w:w="3112"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156DD013" w14:textId="77777777" w:rsidR="00F70FB1" w:rsidRPr="00CE1809" w:rsidRDefault="00F70FB1" w:rsidP="009438FA">
            <w:pPr>
              <w:rPr>
                <w:b/>
                <w:bCs/>
                <w:color w:val="000000"/>
                <w:lang w:val="en-US"/>
              </w:rPr>
            </w:pPr>
            <w:r w:rsidRPr="00CE1809">
              <w:rPr>
                <w:b/>
                <w:bCs/>
                <w:lang w:val="en-US"/>
              </w:rPr>
              <w:t>Tajik Association for Promotion of Tourism Development</w:t>
            </w:r>
            <w:r w:rsidRPr="00CE1809">
              <w:rPr>
                <w:b/>
                <w:bCs/>
                <w:color w:val="000000"/>
                <w:lang w:val="en-US"/>
              </w:rPr>
              <w:t xml:space="preserve"> TATO</w:t>
            </w:r>
          </w:p>
        </w:tc>
        <w:tc>
          <w:tcPr>
            <w:tcW w:w="1566" w:type="dxa"/>
            <w:tcBorders>
              <w:top w:val="single" w:sz="4" w:space="0" w:color="auto"/>
              <w:left w:val="single" w:sz="4" w:space="0" w:color="auto"/>
              <w:bottom w:val="single" w:sz="4" w:space="0" w:color="auto"/>
              <w:right w:val="single" w:sz="4" w:space="0" w:color="auto"/>
            </w:tcBorders>
          </w:tcPr>
          <w:p w14:paraId="30D41795" w14:textId="77777777" w:rsidR="00F70FB1" w:rsidRPr="00CE1809" w:rsidRDefault="00F70FB1" w:rsidP="009438FA">
            <w:pPr>
              <w:jc w:val="center"/>
              <w:rPr>
                <w:color w:val="000000"/>
              </w:rPr>
            </w:pPr>
            <w:r>
              <w:rPr>
                <w:color w:val="000000"/>
              </w:rPr>
              <w:t xml:space="preserve">Τατζικιστάν </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3998F30" w14:textId="77777777" w:rsidR="00F70FB1" w:rsidRDefault="00F70FB1" w:rsidP="009438FA">
            <w:pPr>
              <w:jc w:val="right"/>
              <w:rPr>
                <w:color w:val="000000"/>
              </w:rPr>
            </w:pPr>
            <w:r>
              <w:rPr>
                <w:color w:val="000000"/>
              </w:rPr>
              <w:t>159.755,28 €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6F908" w14:textId="77777777" w:rsidR="00F70FB1" w:rsidRDefault="00F70FB1" w:rsidP="009438FA">
            <w:pPr>
              <w:jc w:val="right"/>
              <w:rPr>
                <w:color w:val="000000"/>
              </w:rPr>
            </w:pPr>
            <w:r>
              <w:rPr>
                <w:color w:val="000000"/>
              </w:rPr>
              <w:t>39.938,82 €</w:t>
            </w:r>
          </w:p>
        </w:tc>
      </w:tr>
      <w:tr w:rsidR="00F70FB1" w14:paraId="45AD40C9" w14:textId="77777777" w:rsidTr="009438FA">
        <w:trPr>
          <w:trHeight w:val="300"/>
        </w:trPr>
        <w:tc>
          <w:tcPr>
            <w:tcW w:w="4678" w:type="dxa"/>
            <w:gridSpan w:val="2"/>
            <w:tcBorders>
              <w:top w:val="nil"/>
              <w:left w:val="single" w:sz="8" w:space="0" w:color="auto"/>
              <w:bottom w:val="single" w:sz="4" w:space="0" w:color="auto"/>
              <w:right w:val="single" w:sz="4" w:space="0" w:color="auto"/>
            </w:tcBorders>
            <w:noWrap/>
            <w:tcMar>
              <w:top w:w="0" w:type="dxa"/>
              <w:left w:w="108" w:type="dxa"/>
              <w:bottom w:w="0" w:type="dxa"/>
              <w:right w:w="108" w:type="dxa"/>
            </w:tcMar>
            <w:vAlign w:val="bottom"/>
            <w:hideMark/>
          </w:tcPr>
          <w:p w14:paraId="0154A947" w14:textId="77777777" w:rsidR="00F70FB1" w:rsidRDefault="00F70FB1" w:rsidP="009438FA">
            <w:pPr>
              <w:jc w:val="center"/>
              <w:rPr>
                <w:b/>
                <w:bCs/>
                <w:color w:val="000000"/>
              </w:rPr>
            </w:pPr>
            <w:r>
              <w:rPr>
                <w:b/>
                <w:bCs/>
                <w:color w:val="000000"/>
              </w:rPr>
              <w:t>ΣΥΝΟΛΟ</w:t>
            </w:r>
          </w:p>
        </w:tc>
        <w:tc>
          <w:tcPr>
            <w:tcW w:w="188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7EEBCCC" w14:textId="77777777" w:rsidR="00F70FB1" w:rsidRDefault="00F70FB1" w:rsidP="009438FA">
            <w:pPr>
              <w:jc w:val="right"/>
              <w:rPr>
                <w:b/>
                <w:bCs/>
                <w:color w:val="000000"/>
              </w:rPr>
            </w:pPr>
            <w:r>
              <w:rPr>
                <w:b/>
                <w:bCs/>
                <w:color w:val="000000"/>
              </w:rPr>
              <w:t>1.608.441,12 €</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D93D6" w14:textId="77777777" w:rsidR="00F70FB1" w:rsidRDefault="00F70FB1" w:rsidP="009438FA">
            <w:pPr>
              <w:jc w:val="right"/>
              <w:rPr>
                <w:b/>
                <w:bCs/>
                <w:color w:val="000000"/>
              </w:rPr>
            </w:pPr>
            <w:r>
              <w:rPr>
                <w:b/>
                <w:bCs/>
                <w:color w:val="000000"/>
              </w:rPr>
              <w:t>401.467,88 €</w:t>
            </w:r>
          </w:p>
        </w:tc>
      </w:tr>
      <w:tr w:rsidR="00F70FB1" w14:paraId="5898484A" w14:textId="77777777" w:rsidTr="009438FA">
        <w:trPr>
          <w:trHeight w:val="300"/>
        </w:trPr>
        <w:tc>
          <w:tcPr>
            <w:tcW w:w="4678"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29B3E85" w14:textId="77777777" w:rsidR="00F70FB1" w:rsidRDefault="00F70FB1" w:rsidP="009438FA">
            <w:pPr>
              <w:jc w:val="center"/>
              <w:rPr>
                <w:b/>
                <w:bCs/>
                <w:color w:val="000000"/>
              </w:rPr>
            </w:pPr>
            <w:r>
              <w:rPr>
                <w:b/>
                <w:bCs/>
                <w:color w:val="000000"/>
              </w:rPr>
              <w:t xml:space="preserve">Γενικό Σύνολο </w:t>
            </w:r>
          </w:p>
        </w:tc>
        <w:tc>
          <w:tcPr>
            <w:tcW w:w="3544" w:type="dxa"/>
            <w:gridSpan w:val="2"/>
            <w:tcBorders>
              <w:top w:val="nil"/>
              <w:left w:val="single" w:sz="4" w:space="0" w:color="auto"/>
              <w:bottom w:val="single" w:sz="8" w:space="0" w:color="auto"/>
              <w:right w:val="single" w:sz="8" w:space="0" w:color="000000"/>
            </w:tcBorders>
            <w:noWrap/>
            <w:tcMar>
              <w:top w:w="0" w:type="dxa"/>
              <w:left w:w="108" w:type="dxa"/>
              <w:bottom w:w="0" w:type="dxa"/>
              <w:right w:w="108" w:type="dxa"/>
            </w:tcMar>
            <w:vAlign w:val="bottom"/>
            <w:hideMark/>
          </w:tcPr>
          <w:p w14:paraId="38BA27DE" w14:textId="77777777" w:rsidR="00F70FB1" w:rsidRDefault="00F70FB1" w:rsidP="009438FA">
            <w:pPr>
              <w:jc w:val="center"/>
              <w:rPr>
                <w:rFonts w:ascii="Calibri" w:hAnsi="Calibri" w:cs="Calibri"/>
                <w:b/>
                <w:bCs/>
                <w:color w:val="000000"/>
              </w:rPr>
            </w:pPr>
            <w:r>
              <w:rPr>
                <w:b/>
                <w:bCs/>
                <w:color w:val="000000"/>
              </w:rPr>
              <w:t>2.009.909,00 €</w:t>
            </w:r>
          </w:p>
        </w:tc>
      </w:tr>
    </w:tbl>
    <w:p w14:paraId="651A1426" w14:textId="77777777" w:rsidR="00F70FB1" w:rsidRPr="001E0E19" w:rsidRDefault="00F70FB1" w:rsidP="00F70FB1">
      <w:pPr>
        <w:jc w:val="both"/>
        <w:rPr>
          <w:lang w:val="en-US"/>
        </w:rPr>
      </w:pPr>
    </w:p>
    <w:p w14:paraId="2C7B83FA" w14:textId="77777777" w:rsidR="00C52E07" w:rsidRPr="00C52E07" w:rsidRDefault="00C52E07" w:rsidP="00F70FB1">
      <w:pPr>
        <w:jc w:val="both"/>
      </w:pPr>
    </w:p>
    <w:sectPr w:rsidR="00C52E07" w:rsidRPr="00C52E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EDA06" w14:textId="77777777" w:rsidR="004D281E" w:rsidRDefault="004D281E" w:rsidP="00CE1809">
      <w:pPr>
        <w:spacing w:after="0" w:line="240" w:lineRule="auto"/>
      </w:pPr>
      <w:r>
        <w:separator/>
      </w:r>
    </w:p>
  </w:endnote>
  <w:endnote w:type="continuationSeparator" w:id="0">
    <w:p w14:paraId="5A7EE047" w14:textId="77777777" w:rsidR="004D281E" w:rsidRDefault="004D281E" w:rsidP="00CE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1A03" w14:textId="77777777" w:rsidR="004D281E" w:rsidRDefault="004D281E" w:rsidP="00CE1809">
      <w:pPr>
        <w:spacing w:after="0" w:line="240" w:lineRule="auto"/>
      </w:pPr>
      <w:r>
        <w:separator/>
      </w:r>
    </w:p>
  </w:footnote>
  <w:footnote w:type="continuationSeparator" w:id="0">
    <w:p w14:paraId="0F7EC88C" w14:textId="77777777" w:rsidR="004D281E" w:rsidRDefault="004D281E" w:rsidP="00CE1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203D"/>
    <w:multiLevelType w:val="hybridMultilevel"/>
    <w:tmpl w:val="1088B2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46169C"/>
    <w:multiLevelType w:val="hybridMultilevel"/>
    <w:tmpl w:val="4650D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137373"/>
    <w:multiLevelType w:val="hybridMultilevel"/>
    <w:tmpl w:val="C90A0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7B1141"/>
    <w:multiLevelType w:val="hybridMultilevel"/>
    <w:tmpl w:val="5414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37560"/>
    <w:multiLevelType w:val="hybridMultilevel"/>
    <w:tmpl w:val="656E9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DA250A"/>
    <w:multiLevelType w:val="hybridMultilevel"/>
    <w:tmpl w:val="6D5E34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8CA3C3B"/>
    <w:multiLevelType w:val="hybridMultilevel"/>
    <w:tmpl w:val="E9B8D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78"/>
    <w:rsid w:val="00004478"/>
    <w:rsid w:val="001E0E19"/>
    <w:rsid w:val="00205355"/>
    <w:rsid w:val="0031295C"/>
    <w:rsid w:val="004279F6"/>
    <w:rsid w:val="004D281E"/>
    <w:rsid w:val="005866AB"/>
    <w:rsid w:val="005E5CF7"/>
    <w:rsid w:val="007B1760"/>
    <w:rsid w:val="00A065A8"/>
    <w:rsid w:val="00C52E07"/>
    <w:rsid w:val="00CE1809"/>
    <w:rsid w:val="00DD5E12"/>
    <w:rsid w:val="00E812EF"/>
    <w:rsid w:val="00F70FB1"/>
    <w:rsid w:val="00F8540F"/>
    <w:rsid w:val="00FB34BD"/>
    <w:rsid w:val="00FD2E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1284"/>
  <w15:chartTrackingRefBased/>
  <w15:docId w15:val="{618251EC-C61A-437E-8272-6CC21559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5C"/>
    <w:pPr>
      <w:ind w:left="720"/>
      <w:contextualSpacing/>
    </w:pPr>
  </w:style>
  <w:style w:type="paragraph" w:styleId="Header">
    <w:name w:val="header"/>
    <w:basedOn w:val="Normal"/>
    <w:link w:val="HeaderChar"/>
    <w:uiPriority w:val="99"/>
    <w:unhideWhenUsed/>
    <w:rsid w:val="00CE18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1809"/>
  </w:style>
  <w:style w:type="paragraph" w:styleId="Footer">
    <w:name w:val="footer"/>
    <w:basedOn w:val="Normal"/>
    <w:link w:val="FooterChar"/>
    <w:uiPriority w:val="99"/>
    <w:unhideWhenUsed/>
    <w:rsid w:val="00CE18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1105</Words>
  <Characters>6301</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ΠΟΠΗ ΚΑΛΕΜΑΚΗ</dc:creator>
  <cp:keywords/>
  <dc:description/>
  <cp:lastModifiedBy>Eva Katsaraki</cp:lastModifiedBy>
  <cp:revision>4</cp:revision>
  <dcterms:created xsi:type="dcterms:W3CDTF">2021-02-15T13:03:00Z</dcterms:created>
  <dcterms:modified xsi:type="dcterms:W3CDTF">2021-03-16T12:35:00Z</dcterms:modified>
</cp:coreProperties>
</file>